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长沙银行股份有限公司2023年四季度</w:t>
      </w:r>
    </w:p>
    <w:p>
      <w:pPr>
        <w:jc w:val="center"/>
        <w:rPr>
          <w:rFonts w:hint="eastAsia" w:ascii="仿宋" w:hAnsi="仿宋" w:eastAsia="仿宋" w:cs="仿宋"/>
          <w:sz w:val="30"/>
          <w:szCs w:val="30"/>
          <w:lang w:val="en-US" w:eastAsia="zh-CN"/>
        </w:rPr>
      </w:pPr>
      <w:r>
        <w:rPr>
          <w:rFonts w:hint="eastAsia" w:ascii="宋体" w:hAnsi="宋体" w:eastAsia="宋体" w:cs="宋体"/>
          <w:b/>
          <w:bCs/>
          <w:sz w:val="36"/>
          <w:szCs w:val="36"/>
          <w:lang w:val="en-US" w:eastAsia="zh-CN"/>
        </w:rPr>
        <w:t>关联交易情况公告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根据《银行保险机构关联交易管理办法》规定，现将长沙银行股份有限公司（以下简称“本行”）2023年四季度关联交易合并信息披露如下：</w:t>
      </w:r>
    </w:p>
    <w:p>
      <w:pPr>
        <w:numPr>
          <w:ilvl w:val="0"/>
          <w:numId w:val="0"/>
        </w:num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一、本季度关联交易情况</w:t>
      </w:r>
      <w:r>
        <w:rPr>
          <w:rStyle w:val="6"/>
          <w:rFonts w:hint="eastAsia" w:ascii="黑体" w:hAnsi="黑体" w:eastAsia="黑体" w:cs="黑体"/>
          <w:sz w:val="30"/>
          <w:szCs w:val="30"/>
          <w:lang w:val="en-US" w:eastAsia="zh-CN"/>
        </w:rPr>
        <w:footnoteReference w:id="0"/>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5"/>
        <w:gridCol w:w="1705"/>
        <w:gridCol w:w="4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pct"/>
            <w:shd w:val="clear" w:color="auto" w:fill="CFCECE" w:themeFill="background2" w:themeFillShade="E5"/>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关联交易类型</w:t>
            </w:r>
          </w:p>
        </w:tc>
        <w:tc>
          <w:tcPr>
            <w:tcW w:w="1000" w:type="pct"/>
            <w:shd w:val="clear" w:color="auto" w:fill="CFCECE" w:themeFill="background2" w:themeFillShade="E5"/>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金额（万元）</w:t>
            </w:r>
          </w:p>
        </w:tc>
        <w:tc>
          <w:tcPr>
            <w:tcW w:w="2400" w:type="pct"/>
            <w:shd w:val="clear" w:color="auto" w:fill="CFCECE" w:themeFill="background2" w:themeFillShade="E5"/>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598" w:type="pct"/>
          </w:tcPr>
          <w:p>
            <w:pPr>
              <w:numPr>
                <w:ilvl w:val="0"/>
                <w:numId w:val="0"/>
              </w:numPr>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授信类关联交易余额</w:t>
            </w:r>
            <w:r>
              <w:rPr>
                <w:rStyle w:val="6"/>
                <w:rFonts w:hint="eastAsia" w:ascii="仿宋" w:hAnsi="仿宋" w:eastAsia="仿宋" w:cs="仿宋"/>
                <w:sz w:val="22"/>
                <w:szCs w:val="22"/>
                <w:lang w:val="en-US" w:eastAsia="zh-CN"/>
              </w:rPr>
              <w:footnoteReference w:id="1"/>
            </w:r>
          </w:p>
        </w:tc>
        <w:tc>
          <w:tcPr>
            <w:tcW w:w="10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802,163.24</w:t>
            </w:r>
          </w:p>
        </w:tc>
        <w:tc>
          <w:tcPr>
            <w:tcW w:w="24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贷款、银票保函、结构化融资等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pct"/>
          </w:tcPr>
          <w:p>
            <w:pPr>
              <w:numPr>
                <w:ilvl w:val="0"/>
                <w:numId w:val="0"/>
              </w:numPr>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服务类关联交易金额</w:t>
            </w:r>
          </w:p>
        </w:tc>
        <w:tc>
          <w:tcPr>
            <w:tcW w:w="10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2,960</w:t>
            </w:r>
            <w:r>
              <w:rPr>
                <w:rFonts w:hint="default" w:ascii="仿宋" w:hAnsi="仿宋" w:eastAsia="仿宋" w:cs="仿宋"/>
                <w:sz w:val="22"/>
                <w:szCs w:val="22"/>
                <w:vertAlign w:val="baseline"/>
                <w:lang w:val="en" w:eastAsia="zh-CN"/>
              </w:rPr>
              <w:t>.</w:t>
            </w:r>
            <w:r>
              <w:rPr>
                <w:rFonts w:hint="eastAsia" w:ascii="仿宋" w:hAnsi="仿宋" w:eastAsia="仿宋" w:cs="仿宋"/>
                <w:sz w:val="22"/>
                <w:szCs w:val="22"/>
                <w:vertAlign w:val="baseline"/>
                <w:lang w:val="en-US" w:eastAsia="zh-CN"/>
              </w:rPr>
              <w:t>94</w:t>
            </w:r>
          </w:p>
        </w:tc>
        <w:tc>
          <w:tcPr>
            <w:tcW w:w="24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工程建设、租赁、担保费等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pct"/>
          </w:tcPr>
          <w:p>
            <w:pPr>
              <w:numPr>
                <w:ilvl w:val="0"/>
                <w:numId w:val="0"/>
              </w:numPr>
              <w:jc w:val="center"/>
              <w:rPr>
                <w:rFonts w:hint="eastAsia" w:ascii="仿宋" w:hAnsi="仿宋" w:eastAsia="仿宋" w:cs="仿宋"/>
                <w:sz w:val="22"/>
                <w:szCs w:val="22"/>
                <w:vertAlign w:val="baseline"/>
                <w:lang w:val="en-US" w:eastAsia="zh-CN"/>
              </w:rPr>
            </w:pPr>
            <w:bookmarkStart w:id="0" w:name="_GoBack" w:colFirst="0" w:colLast="2"/>
            <w:r>
              <w:rPr>
                <w:rFonts w:hint="eastAsia" w:ascii="仿宋" w:hAnsi="仿宋" w:eastAsia="仿宋" w:cs="仿宋"/>
                <w:sz w:val="22"/>
                <w:szCs w:val="22"/>
                <w:vertAlign w:val="baseline"/>
                <w:lang w:val="en-US" w:eastAsia="zh-CN"/>
              </w:rPr>
              <w:t>资产转移类关联交易金额</w:t>
            </w:r>
          </w:p>
        </w:tc>
        <w:tc>
          <w:tcPr>
            <w:tcW w:w="10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w:t>
            </w:r>
          </w:p>
        </w:tc>
        <w:tc>
          <w:tcPr>
            <w:tcW w:w="24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pct"/>
          </w:tcPr>
          <w:p>
            <w:pPr>
              <w:numPr>
                <w:ilvl w:val="0"/>
                <w:numId w:val="0"/>
              </w:numPr>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存款</w:t>
            </w:r>
            <w:r>
              <w:rPr>
                <w:rStyle w:val="6"/>
                <w:rFonts w:hint="eastAsia" w:ascii="仿宋" w:hAnsi="仿宋" w:eastAsia="仿宋" w:cs="仿宋"/>
                <w:sz w:val="22"/>
                <w:szCs w:val="22"/>
                <w:lang w:val="en-US" w:eastAsia="zh-CN"/>
              </w:rPr>
              <w:footnoteReference w:id="2"/>
            </w:r>
            <w:r>
              <w:rPr>
                <w:rFonts w:hint="eastAsia" w:ascii="仿宋" w:hAnsi="仿宋" w:eastAsia="仿宋" w:cs="仿宋"/>
                <w:sz w:val="22"/>
                <w:szCs w:val="22"/>
                <w:vertAlign w:val="baseline"/>
                <w:lang w:val="en-US" w:eastAsia="zh-CN"/>
              </w:rPr>
              <w:t>和其他类型交易金额</w:t>
            </w:r>
          </w:p>
        </w:tc>
        <w:tc>
          <w:tcPr>
            <w:tcW w:w="10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354,054.14</w:t>
            </w:r>
          </w:p>
        </w:tc>
        <w:tc>
          <w:tcPr>
            <w:tcW w:w="2400" w:type="pct"/>
          </w:tcPr>
          <w:p>
            <w:pPr>
              <w:numPr>
                <w:ilvl w:val="0"/>
                <w:numId w:val="0"/>
              </w:num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存款及其他</w:t>
            </w:r>
          </w:p>
        </w:tc>
      </w:tr>
      <w:bookmarkEnd w:id="0"/>
    </w:tbl>
    <w:p>
      <w:pPr>
        <w:numPr>
          <w:ilvl w:val="0"/>
          <w:numId w:val="0"/>
        </w:numPr>
        <w:ind w:leftChars="0"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二、关联交易监管指标执行情况</w:t>
      </w:r>
    </w:p>
    <w:p>
      <w:pPr>
        <w:numPr>
          <w:ilvl w:val="0"/>
          <w:numId w:val="0"/>
        </w:numPr>
        <w:ind w:leftChars="0"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截止2023年四季度末，本行对单个关联方的授信余额未超过上季末资本净额的10%，对单个关联法人或非法人组织所在集团客户的合计授信余额未超过上季末资本净额的15%，对全部关联方的授信余额未超过上季末资本净额的50%。本行各项指标执行情况均符合监管要求。</w:t>
      </w:r>
    </w:p>
    <w:p>
      <w:pPr>
        <w:numPr>
          <w:ilvl w:val="0"/>
          <w:numId w:val="0"/>
        </w:numPr>
        <w:ind w:leftChars="0"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特此公告。</w:t>
      </w:r>
    </w:p>
    <w:p>
      <w:pPr>
        <w:numPr>
          <w:ilvl w:val="0"/>
          <w:numId w:val="0"/>
        </w:numPr>
        <w:ind w:leftChars="0"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长沙银行股份有限公司</w:t>
      </w:r>
    </w:p>
    <w:p>
      <w:pPr>
        <w:numPr>
          <w:ilvl w:val="0"/>
          <w:numId w:val="0"/>
        </w:numPr>
        <w:ind w:leftChars="0"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2024年1月30日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2"/>
        <w:snapToGrid w:val="0"/>
        <w:rPr>
          <w:rFonts w:hint="default" w:eastAsiaTheme="minorEastAsia"/>
          <w:lang w:val="en-US" w:eastAsia="zh-CN"/>
        </w:rPr>
      </w:pPr>
      <w:r>
        <w:rPr>
          <w:rStyle w:val="6"/>
        </w:rPr>
        <w:footnoteRef/>
      </w:r>
      <w:r>
        <w:t xml:space="preserve"> </w:t>
      </w:r>
      <w:r>
        <w:rPr>
          <w:rFonts w:hint="eastAsia"/>
          <w:lang w:val="en-US" w:eastAsia="zh-CN"/>
        </w:rPr>
        <w:t>交易情况为本行国家金融监督管理局口径的关联方截止2023年四季度末的关联交易情况统计，币种为人民币。</w:t>
      </w:r>
    </w:p>
  </w:footnote>
  <w:footnote w:id="1">
    <w:p>
      <w:pPr>
        <w:pStyle w:val="2"/>
        <w:snapToGrid w:val="0"/>
        <w:rPr>
          <w:rFonts w:hint="default"/>
          <w:lang w:val="en-US"/>
        </w:rPr>
      </w:pPr>
      <w:r>
        <w:rPr>
          <w:rStyle w:val="6"/>
        </w:rPr>
        <w:footnoteRef/>
      </w:r>
      <w:r>
        <w:rPr>
          <w:rFonts w:hint="eastAsia"/>
          <w:lang w:val="en-US" w:eastAsia="zh-CN"/>
        </w:rPr>
        <w:t xml:space="preserve"> 授信类关联交易余额为扣除了保证金存款以及质押的银行存单和国债金额后的授信净额。</w:t>
      </w:r>
    </w:p>
  </w:footnote>
  <w:footnote w:id="2">
    <w:p>
      <w:pPr>
        <w:pStyle w:val="2"/>
        <w:snapToGrid w:val="0"/>
        <w:rPr>
          <w:rFonts w:hint="default" w:eastAsiaTheme="minorEastAsia"/>
          <w:lang w:val="en-US" w:eastAsia="zh-CN"/>
        </w:rPr>
      </w:pPr>
      <w:r>
        <w:rPr>
          <w:rStyle w:val="6"/>
        </w:rPr>
        <w:footnoteRef/>
      </w:r>
      <w:r>
        <w:t xml:space="preserve"> </w:t>
      </w:r>
      <w:r>
        <w:rPr>
          <w:rFonts w:hint="eastAsia"/>
          <w:lang w:val="en-US" w:eastAsia="zh-CN"/>
        </w:rPr>
        <w:t>存款类交易金额为扣除活期存款以外的其他存款类交易的余额及利息合计金额。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21"/>
    <w:rsid w:val="00B57121"/>
    <w:rsid w:val="02BB07D1"/>
    <w:rsid w:val="05925136"/>
    <w:rsid w:val="0D3402C3"/>
    <w:rsid w:val="0D8820FA"/>
    <w:rsid w:val="0DB064CE"/>
    <w:rsid w:val="117A11AA"/>
    <w:rsid w:val="12D15074"/>
    <w:rsid w:val="14FB28FC"/>
    <w:rsid w:val="16563066"/>
    <w:rsid w:val="16A76284"/>
    <w:rsid w:val="192654AF"/>
    <w:rsid w:val="27D54BF9"/>
    <w:rsid w:val="2A1E684E"/>
    <w:rsid w:val="2A3C5B70"/>
    <w:rsid w:val="2CAD757A"/>
    <w:rsid w:val="2D847C84"/>
    <w:rsid w:val="2EB76589"/>
    <w:rsid w:val="32856269"/>
    <w:rsid w:val="38D251D7"/>
    <w:rsid w:val="3D777DCE"/>
    <w:rsid w:val="415D5A6B"/>
    <w:rsid w:val="43975A9D"/>
    <w:rsid w:val="449E4CCD"/>
    <w:rsid w:val="457E071E"/>
    <w:rsid w:val="4A7B3B10"/>
    <w:rsid w:val="4AA36890"/>
    <w:rsid w:val="4F7765B0"/>
    <w:rsid w:val="55306ADF"/>
    <w:rsid w:val="58E84124"/>
    <w:rsid w:val="5A8B6CAE"/>
    <w:rsid w:val="5C3438A4"/>
    <w:rsid w:val="5C424916"/>
    <w:rsid w:val="5E728C27"/>
    <w:rsid w:val="64C44A00"/>
    <w:rsid w:val="6A3B34BF"/>
    <w:rsid w:val="757C473E"/>
    <w:rsid w:val="7B5A75ED"/>
    <w:rsid w:val="7D731D61"/>
    <w:rsid w:val="7DC25C8A"/>
    <w:rsid w:val="7FAF3B47"/>
    <w:rsid w:val="7FBC7437"/>
    <w:rsid w:val="7FD74743"/>
    <w:rsid w:val="9B7CD0B8"/>
    <w:rsid w:val="FE915D84"/>
    <w:rsid w:val="FFEF3A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2023-04-25T15:07:00Z</dcterms:created>
  <dc:creator>徐芳(12861)</dc:creator>
  <cp:lastModifiedBy>徐芳(12861)</cp:lastModifiedBy>
  <dcterms:modified xsi:type="dcterms:W3CDTF">2024-01-24T02:54:26Z</dcterms:modified>
  <cp:revision>1</cp:revision>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SOProductBuildVer">
    <vt:lpwstr>2052-11.8.2.12085</vt:lpwstr>
  </op:property>
  <op:property fmtid="{D5CDD505-2E9C-101B-9397-08002B2CF9AE}" pid="3" name="ICV">
    <vt:lpwstr>4F2BCC75C1D14D71991808CCD5069CB0</vt:lpwstr>
  </op:property>
  <op:property fmtid="{D5CDD505-2E9C-101B-9397-08002B2CF9AE}" pid="4" name="_IPGFID">
    <vt:lpwstr>[DocID]=3F3BC8A9-5B65-4102-89DB-BD2645884863</vt:lpwstr>
  </op:property>
  <op:property fmtid="{D5CDD505-2E9C-101B-9397-08002B2CF9AE}" pid="5" name="_IPGFLOW_P-8DD5_E-0_CV-88520CEC_CN-F19C172F">
    <vt:lpwstr>DPFPMK|3|50|1|0</vt:lpwstr>
  </op:property>
  <op:property fmtid="{D5CDD505-2E9C-101B-9397-08002B2CF9AE}" pid="6" name="_IPGFLOW_P-8DD5_E-1_FP-1_CV-452B1BB2_CN-D7C83FF2">
    <vt:lpwstr>n7Bj5LbCrJ8dks4QG83MlYvPbCGWF7zfqaR5qZFHRoKgLAHFMBMZODwpgypTXMptl7UBef87Hq6sWJmV82Fmecs6v6yJsYaix8c9QFxYcFo=</vt:lpwstr>
  </op:property>
</op:Properties>
</file>