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ascii="仿宋" w:hAnsi="仿宋" w:eastAsia="仿宋" w:cs="仿宋"/>
          <w:b/>
          <w:bCs/>
          <w:sz w:val="32"/>
          <w:szCs w:val="32"/>
        </w:rPr>
        <w:t>长沙银行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湖南政府采购电子卖场供应商</w:t>
      </w:r>
      <w:r>
        <w:rPr>
          <w:rFonts w:ascii="仿宋" w:hAnsi="仿宋" w:eastAsia="仿宋" w:cs="仿宋"/>
          <w:b/>
          <w:bCs/>
          <w:sz w:val="32"/>
          <w:szCs w:val="32"/>
        </w:rPr>
        <w:t>电子增信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服务指南</w:t>
      </w:r>
      <w:bookmarkEnd w:id="0"/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ind w:firstLine="42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目前，入驻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湖南政府采购电子卖场的</w:t>
      </w:r>
      <w:r>
        <w:rPr>
          <w:rFonts w:hint="eastAsia" w:ascii="仿宋" w:hAnsi="仿宋" w:eastAsia="仿宋" w:cs="仿宋"/>
          <w:sz w:val="32"/>
          <w:szCs w:val="32"/>
        </w:rPr>
        <w:t>供应商可采取办理“定期存款+单位存款证明+扣款保证”的方式至长沙银行任一支行网点办理电子增信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以下为办理流程：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drawing>
          <wp:inline distT="0" distB="0" distL="114300" distR="114300">
            <wp:extent cx="3098800" cy="3105150"/>
            <wp:effectExtent l="0" t="0" r="0" b="6350"/>
            <wp:docPr id="2" name="图片 2" descr="66a726f8ac0d618a834110ce9d0b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6a726f8ac0d618a834110ce9d0b3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一、开立对公结算账户（一般结算户即可）</w:t>
      </w:r>
    </w:p>
    <w:p>
      <w:pPr>
        <w:numPr>
          <w:ilvl w:val="0"/>
          <w:numId w:val="0"/>
        </w:numPr>
        <w:ind w:firstLine="42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在长沙银行办理电子增信证明需在我行开立对公结算账户，一般结算账户即可，不要求基本账户。开户资料：</w:t>
      </w:r>
    </w:p>
    <w:p>
      <w:pPr>
        <w:ind w:firstLine="42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ascii="仿宋" w:hAnsi="仿宋" w:eastAsia="仿宋" w:cs="仿宋"/>
          <w:sz w:val="32"/>
          <w:szCs w:val="32"/>
        </w:rPr>
        <w:t>法人代表授权书（法人代表不能亲自办理时需要）；</w:t>
      </w:r>
    </w:p>
    <w:p>
      <w:pPr>
        <w:ind w:firstLine="42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ascii="仿宋" w:hAnsi="仿宋" w:eastAsia="仿宋" w:cs="仿宋"/>
          <w:sz w:val="32"/>
          <w:szCs w:val="32"/>
        </w:rPr>
        <w:t>营业执照正本原件；</w:t>
      </w:r>
    </w:p>
    <w:p>
      <w:pPr>
        <w:ind w:firstLine="42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ascii="仿宋" w:hAnsi="仿宋" w:eastAsia="仿宋" w:cs="仿宋"/>
          <w:sz w:val="32"/>
          <w:szCs w:val="32"/>
        </w:rPr>
        <w:t>开户许可证原件；</w:t>
      </w:r>
    </w:p>
    <w:p>
      <w:pPr>
        <w:ind w:firstLine="42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ascii="仿宋" w:hAnsi="仿宋" w:eastAsia="仿宋" w:cs="仿宋"/>
          <w:sz w:val="32"/>
          <w:szCs w:val="32"/>
        </w:rPr>
        <w:t>法人代表身份证原件；经办人身份证原件；</w:t>
      </w:r>
    </w:p>
    <w:p>
      <w:pPr>
        <w:ind w:firstLine="42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ascii="仿宋" w:hAnsi="仿宋" w:eastAsia="仿宋" w:cs="仿宋"/>
          <w:sz w:val="32"/>
          <w:szCs w:val="32"/>
        </w:rPr>
        <w:t>公章；银行预留印鉴；法人代表私章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开立定期存款</w:t>
      </w:r>
    </w:p>
    <w:p>
      <w:pPr>
        <w:numPr>
          <w:ilvl w:val="0"/>
          <w:numId w:val="0"/>
        </w:numPr>
        <w:ind w:firstLine="42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供应商如果已开通长沙银行企业e钱庄/企业网银，则可以自助开立定期存款；如果企业没有企业e钱庄或企业网银，须在开户网点柜台开立定期存款：</w:t>
      </w:r>
    </w:p>
    <w:p>
      <w:pPr>
        <w:numPr>
          <w:ilvl w:val="0"/>
          <w:numId w:val="0"/>
        </w:numPr>
        <w:ind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入驻供应商锁定的信用额度不低于3万元、时间不短于一年的，信用等级为1星，参与预算金额不高于20万元的竞价项目报价不锁定电子增信额度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对应定期存款额度为3万元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numPr>
          <w:ilvl w:val="0"/>
          <w:numId w:val="0"/>
        </w:numPr>
        <w:ind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交易累计超过100笔无差评或锁定的信用额度不低于10万元、时间不短于一年的，信用等级为2星，参与预算金额不高于50万元的竞价项目报价不锁定电子增信额度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对应定期存款额度为10万元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numPr>
          <w:ilvl w:val="0"/>
          <w:numId w:val="0"/>
        </w:numPr>
        <w:ind w:firstLine="42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当年被财政部门评为优秀供应商或锁定的增信额度不低于30万元、时间不短于一年的，信用等级为3星，参与所有竞价项目报价可不锁定电子增信额度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对应定期存款额度为30万元；</w:t>
      </w:r>
    </w:p>
    <w:p>
      <w:pPr>
        <w:numPr>
          <w:ilvl w:val="0"/>
          <w:numId w:val="0"/>
        </w:numPr>
        <w:ind w:firstLine="42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三、开立单位存款证明</w:t>
      </w:r>
    </w:p>
    <w:p>
      <w:pPr>
        <w:numPr>
          <w:ilvl w:val="0"/>
          <w:numId w:val="0"/>
        </w:numPr>
        <w:ind w:firstLine="420" w:firstLine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定期存款开立完成，客户第二天</w:t>
      </w:r>
      <w:r>
        <w:rPr>
          <w:rFonts w:ascii="仿宋" w:hAnsi="仿宋" w:eastAsia="仿宋" w:cs="仿宋"/>
          <w:b/>
          <w:bCs/>
          <w:sz w:val="32"/>
          <w:szCs w:val="32"/>
        </w:rPr>
        <w:t>携带以下资料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至开户网点办理单位存款证明作为电子增信证明</w:t>
      </w:r>
      <w:r>
        <w:rPr>
          <w:rFonts w:ascii="仿宋" w:hAnsi="仿宋" w:eastAsia="仿宋" w:cs="仿宋"/>
          <w:b/>
          <w:bCs/>
          <w:sz w:val="32"/>
          <w:szCs w:val="32"/>
        </w:rPr>
        <w:t>：</w:t>
      </w:r>
    </w:p>
    <w:p>
      <w:pPr>
        <w:ind w:firstLine="42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ascii="仿宋" w:hAnsi="仿宋" w:eastAsia="仿宋" w:cs="仿宋"/>
          <w:sz w:val="32"/>
          <w:szCs w:val="32"/>
        </w:rPr>
        <w:t>湖南省政府采购电子卖场入驻承诺书（加盖公章）；</w:t>
      </w:r>
    </w:p>
    <w:p>
      <w:pPr>
        <w:ind w:firstLine="42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ascii="仿宋" w:hAnsi="仿宋" w:eastAsia="仿宋" w:cs="仿宋"/>
          <w:sz w:val="32"/>
          <w:szCs w:val="32"/>
        </w:rPr>
        <w:t>法人代表授权书（法人代表不能亲自办理时需要）；</w:t>
      </w:r>
    </w:p>
    <w:p>
      <w:pPr>
        <w:ind w:firstLine="42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ascii="仿宋" w:hAnsi="仿宋" w:eastAsia="仿宋" w:cs="仿宋"/>
          <w:sz w:val="32"/>
          <w:szCs w:val="32"/>
        </w:rPr>
        <w:t>营业执照正本原件；</w:t>
      </w:r>
    </w:p>
    <w:p>
      <w:pPr>
        <w:ind w:firstLine="42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ascii="仿宋" w:hAnsi="仿宋" w:eastAsia="仿宋" w:cs="仿宋"/>
          <w:sz w:val="32"/>
          <w:szCs w:val="32"/>
        </w:rPr>
        <w:t>开户许可证原件；</w:t>
      </w:r>
    </w:p>
    <w:p>
      <w:pPr>
        <w:ind w:firstLine="42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ascii="仿宋" w:hAnsi="仿宋" w:eastAsia="仿宋" w:cs="仿宋"/>
          <w:sz w:val="32"/>
          <w:szCs w:val="32"/>
        </w:rPr>
        <w:t>法人代表身份证原件；经办人身份证原件；</w:t>
      </w:r>
    </w:p>
    <w:p>
      <w:pPr>
        <w:ind w:firstLine="42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ascii="仿宋" w:hAnsi="仿宋" w:eastAsia="仿宋" w:cs="仿宋"/>
          <w:sz w:val="32"/>
          <w:szCs w:val="32"/>
        </w:rPr>
        <w:t>公章；银行预留印鉴；法人代表私章；</w:t>
      </w:r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四、电子增信证明验证</w:t>
      </w:r>
    </w:p>
    <w:p>
      <w:pPr>
        <w:ind w:firstLine="420" w:firstLine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单位存款证明开立完成后，客户</w:t>
      </w:r>
      <w:r>
        <w:rPr>
          <w:rFonts w:ascii="仿宋" w:hAnsi="仿宋" w:eastAsia="仿宋" w:cs="仿宋"/>
          <w:b/>
          <w:bCs/>
          <w:sz w:val="32"/>
          <w:szCs w:val="32"/>
        </w:rPr>
        <w:t>直接登录政采云电子卖场录入银行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单位</w:t>
      </w:r>
      <w:r>
        <w:rPr>
          <w:rFonts w:ascii="仿宋" w:hAnsi="仿宋" w:eastAsia="仿宋" w:cs="仿宋"/>
          <w:b/>
          <w:bCs/>
          <w:sz w:val="32"/>
          <w:szCs w:val="32"/>
        </w:rPr>
        <w:t>存款证明编号（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ZM+18位数字</w:t>
      </w:r>
      <w:r>
        <w:rPr>
          <w:rFonts w:ascii="仿宋" w:hAnsi="仿宋" w:eastAsia="仿宋" w:cs="仿宋"/>
          <w:b/>
          <w:bCs/>
          <w:sz w:val="32"/>
          <w:szCs w:val="32"/>
        </w:rPr>
        <w:t>），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进行增信验证</w:t>
      </w:r>
      <w:r>
        <w:rPr>
          <w:rFonts w:ascii="仿宋" w:hAnsi="仿宋" w:eastAsia="仿宋" w:cs="仿宋"/>
          <w:b/>
          <w:bCs/>
          <w:sz w:val="32"/>
          <w:szCs w:val="32"/>
        </w:rPr>
        <w:t>。</w:t>
      </w:r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五、电子卖场常见问题解答：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1、供应商用单位存款证明编号在政采云平台上进行电子增信验证，如果遇到“暂未查询到数据内容，请修改确认后再试”的情况，如何解决？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答：一般从以下3方面找原因：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1）统一社会信用代码不符；请到柜台查询开户时留的证件编号，是否为“统一社会信用代码”，如不是，请重新维护；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2）办理单位存款证明，预留卖场管理员电话与政采云号码不符。请客户在政采云平台的系统管理-账户管理-更换“绑定手机”，将其变更一致即可；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3）办理存款证明时，柜台对定期存款的冻结异常，即柜台未对定期存款采用“内部控制-金额不超额控制”。需经办人员查询控制时间为开始控制的时间到一年以后，注意不是定期存款到期日，同时冻结标志的类型数字为32，不是27，如2021年1月1日对定期存款进行冻结，则冻结到期日为2022年1月1日以后（含）。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一个客户可否开立2个以上的增信证明？</w:t>
      </w:r>
    </w:p>
    <w:p>
      <w:pPr>
        <w:numPr>
          <w:ilvl w:val="0"/>
          <w:numId w:val="0"/>
        </w:num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答：可以同时开2个，验证增信的时候可以选择需要验证的存款证明编号。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3、电子增信如何撤销？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答：我行已于2020年11月4日上线电子增信线上撤销功能，客户需：①登录政采云平台进行增信解绑；②开立企业e钱庄；③登录企业e钱庄点击政采云-电子增信，进行撤销操作。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4、供应商政采云系统的操作问题向谁咨询？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答：请供应商咨询湖南电子卖场供应商钉钉群34978621，或者打4008817190、0731-85305078、0731-85305079咨询。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5、可以在长沙银行以外的机构办理电子增信证明吗？</w:t>
      </w:r>
    </w:p>
    <w:p>
      <w:pPr>
        <w:numPr>
          <w:ilvl w:val="0"/>
          <w:numId w:val="0"/>
        </w:num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答：可以。除长沙银行外，供应商可以选择到湖南省财政厅合作的其他任意金融机构办理，具体可登录湖南省政府采购网（http://www.ccgp-hunan.gov.cn/）进行查询。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六、长沙银行机构网点</w:t>
      </w:r>
    </w:p>
    <w:tbl>
      <w:tblPr>
        <w:tblStyle w:val="2"/>
        <w:tblW w:w="8182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67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83" w:type="dxa"/>
            <w:tcBorders>
              <w:top w:val="nil"/>
              <w:left w:val="nil"/>
              <w:bottom w:val="single" w:color="8EA9DB" w:sz="4" w:space="0"/>
              <w:right w:val="nil"/>
            </w:tcBorders>
            <w:shd w:val="clear" w:color="4472C4" w:fill="4472C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 w:val="28"/>
                <w:szCs w:val="28"/>
              </w:rPr>
              <w:t>分支机构</w:t>
            </w:r>
          </w:p>
        </w:tc>
        <w:tc>
          <w:tcPr>
            <w:tcW w:w="6799" w:type="dxa"/>
            <w:tcBorders>
              <w:top w:val="nil"/>
              <w:left w:val="nil"/>
              <w:bottom w:val="single" w:color="8EA9DB" w:sz="4" w:space="0"/>
              <w:right w:val="nil"/>
            </w:tcBorders>
            <w:shd w:val="clear" w:color="4472C4" w:fill="4472C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 w:val="28"/>
                <w:szCs w:val="28"/>
              </w:rPr>
              <w:t>下属支行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银德支行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营业部、高桥支行、信诚支行、天心支行、古曲路支行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暮云支行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汇丰支行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营业部、鑫泰支行、恒泰支行、华夏支行、华瑞支行、华信支行、金霞支行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金城支行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营业部、高建支行、韭菜园支行、五一支行、汇金支行、栖凤支行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东城支行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营业部、中南支行、文艺支行、蔡锷路支行、新丰支行、人民东路支行、锦泰支行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湘银支行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营业部、芙蓉支行、丰瑞支行、曙光支行、树木岭支行、荷花园支行、香樟路支行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南城支行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营业部、白沙支行、电广支行、湘江支行、瑞昌支行、德宇支行、友谊支行、迎宾支行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汇融支行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营业部、解放东路支行、朝阳支行、顺龙支行、建湘支行、湘府路支行、东塘支行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高信支行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营业部、水风井支行、城南东路支行、环保支行、韶山路支行、高升路支行、侯家塘支行、高铁新城支行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华龙支行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营业部、华兴支行、联汇支行、华祥支行、华凯支行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湘江新区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支行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营业部、先导区支行、大学城支行、河西支行、麓山支行、华丰支行、金政支行、含浦支行、洋湖支行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梅溪湖支行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科技支行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营业部、硅谷支行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辖大科城支行）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、高新支行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科创支行（筹）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开福支行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营业部、华联支行、四方支行、东风路支行、兴汉门支行、浏阳河支行、福元支行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浏阳支行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营业部、花炮支行、永安支行、联城支行、集里支行、柏加支行、经开区支行、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镇头支行、金刚支行、官渡支行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望城支行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营业部、金瑞支行、金山支行、钰龙支行、雷锋支行、丁字湾支行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宁乡支行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营业部、玉潭支行、金州科技支行、金海支行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星城支行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营业部、暮云支行、星沙支行、榔梨支行、月湖支行、松雅支行、科技新城支行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临空支行、黄兴支行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株洲分行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营业部、芦淞支行、云龙支行、醴陵支行、攸县支行、茶陵支行、天元支行、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荷塘支行、田心支行、科技支行、渌口支行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市民中心支行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常德分行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营业部、澧县支行、桃源支行、科技支行、鼎城支行、临澧支行、安乡支行、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汉寿支行、石门支行、津市支行、高新区支行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湘潭分行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营业部、湘乡支行、湘潭县支行、九华支行、福星路支行、韶山支行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郴州分行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营业部、资兴支行、汝城支行、桂阳支行、友阿支行、安仁支行、嘉禾支行、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临武支行、永兴支行、苏仙支行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娄底分行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营业部、新化支行、双峰支行、冷水江支行、娄星支行、涟源支行、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开发区支行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益阳分行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营业部、桃江支行、南县支行、安化支行、沅江支行、资阳支行、赫山支行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大通湖支行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怀化分行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营业部、鹤城支行、沅陵支行、溆浦支行、通道支行、辰溪支行、靖州支行、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火车站支行、芷江支行、洪江支行、新晃支行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体育中心支行（筹）、麻阳支行（筹）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邵阳分行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营业部、邵东支行、武冈支行、隆回支行、新邵支行、新宁支行、双清支行、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北塔支行、邵阳县支行、洞口支行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绥宁支行（筹）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永州分行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营业部、道县支行、宁远支行、江华支行、新田支行、东安支行、江永支行、零陵支行、蓝山支行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衡阳分行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营业部、珠晖支行、常宁支行、耒阳支行、衡阳县支行、祁东支行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nil"/>
              <w:right w:val="single" w:color="8EA9DB" w:sz="4" w:space="0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张家界分行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nil"/>
              <w:right w:val="nil"/>
            </w:tcBorders>
            <w:shd w:val="clear" w:color="D9E1F2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营业部、桑植支行、慈利支行、永定支行（筹）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single" w:color="8EA9DB" w:sz="4" w:space="0"/>
              <w:right w:val="single" w:color="8EA9DB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岳阳分行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营业部、南湖支行、岳阳县支行、经开区支行、湘阴支行、平江支行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汨罗支行（筹）、华容支行（筹）、临湘支行（筹）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single" w:color="8EA9DB" w:sz="4" w:space="0"/>
              <w:right w:val="single" w:color="8EA9DB" w:sz="4" w:space="0"/>
            </w:tcBorders>
            <w:shd w:val="clear" w:color="auto" w:fill="D9E1F2"/>
            <w:vAlign w:val="center"/>
          </w:tcPr>
          <w:p>
            <w:pPr>
              <w:widowControl/>
              <w:ind w:right="-225" w:rightChars="-107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宜章村镇银行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single" w:color="8EA9DB" w:sz="4" w:space="0"/>
              <w:right w:val="single" w:color="8EA9DB" w:sz="4" w:space="0"/>
            </w:tcBorders>
            <w:shd w:val="clear" w:color="auto" w:fill="auto"/>
            <w:vAlign w:val="center"/>
          </w:tcPr>
          <w:p>
            <w:pPr>
              <w:widowControl/>
              <w:ind w:right="-225" w:rightChars="-107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湘西村镇银行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383" w:type="dxa"/>
            <w:tcBorders>
              <w:top w:val="single" w:color="8EA9DB" w:sz="4" w:space="0"/>
              <w:left w:val="nil"/>
              <w:bottom w:val="single" w:color="8EA9DB" w:sz="4" w:space="0"/>
              <w:right w:val="single" w:color="8EA9DB" w:sz="4" w:space="0"/>
            </w:tcBorders>
            <w:shd w:val="clear" w:color="auto" w:fill="D9E1F2"/>
            <w:vAlign w:val="center"/>
          </w:tcPr>
          <w:p>
            <w:pPr>
              <w:widowControl/>
              <w:ind w:right="-225" w:rightChars="-107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祁阳村镇银行</w:t>
            </w:r>
          </w:p>
        </w:tc>
        <w:tc>
          <w:tcPr>
            <w:tcW w:w="6799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D9E1F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A6A797"/>
    <w:multiLevelType w:val="singleLevel"/>
    <w:tmpl w:val="C2A6A797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36BD8302"/>
    <w:multiLevelType w:val="singleLevel"/>
    <w:tmpl w:val="36BD830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BC"/>
    <w:rsid w:val="0038301D"/>
    <w:rsid w:val="00455609"/>
    <w:rsid w:val="00721BBC"/>
    <w:rsid w:val="00745962"/>
    <w:rsid w:val="0077513F"/>
    <w:rsid w:val="00786CBC"/>
    <w:rsid w:val="00B80950"/>
    <w:rsid w:val="00D345D2"/>
    <w:rsid w:val="25966DED"/>
    <w:rsid w:val="29F92813"/>
    <w:rsid w:val="3DD97084"/>
    <w:rsid w:val="3E064196"/>
    <w:rsid w:val="5E074E57"/>
    <w:rsid w:val="6FF007D0"/>
    <w:rsid w:val="72674B16"/>
    <w:rsid w:val="730F109A"/>
    <w:rsid w:val="77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404</Words>
  <Characters>2305</Characters>
  <Lines>19</Lines>
  <Paragraphs>5</Paragraphs>
  <TotalTime>5</TotalTime>
  <ScaleCrop>false</ScaleCrop>
  <LinksUpToDate>false</LinksUpToDate>
  <CharactersWithSpaces>2704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2020-06-17T03:03:00Z</dcterms:created>
  <dc:creator>龙宇婷</dc:creator>
  <cp:lastModifiedBy>undefined</cp:lastModifiedBy>
  <dcterms:modified xsi:type="dcterms:W3CDTF">2021-02-24T09:16:24Z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